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6D41" w:rsidRDefault="000A2A35" w:rsidP="000A2A35">
      <w:pPr>
        <w:jc w:val="center"/>
        <w:rPr>
          <w:rFonts w:ascii="Times New Roman" w:hAnsi="Times New Roman" w:cs="Times New Roman"/>
          <w:b/>
          <w:sz w:val="24"/>
          <w:szCs w:val="24"/>
        </w:rPr>
      </w:pPr>
      <w:bookmarkStart w:id="0" w:name="_GoBack"/>
      <w:bookmarkEnd w:id="0"/>
      <w:r w:rsidRPr="000A2A35">
        <w:rPr>
          <w:rFonts w:ascii="Times New Roman" w:hAnsi="Times New Roman" w:cs="Times New Roman"/>
          <w:b/>
          <w:sz w:val="24"/>
          <w:szCs w:val="24"/>
        </w:rPr>
        <w:t>CHANGES TO SB 454</w:t>
      </w:r>
      <w:r w:rsidR="00066814">
        <w:rPr>
          <w:rFonts w:ascii="Times New Roman" w:hAnsi="Times New Roman" w:cs="Times New Roman"/>
          <w:b/>
          <w:sz w:val="24"/>
          <w:szCs w:val="24"/>
        </w:rPr>
        <w:t xml:space="preserve"> SINCE LAST SENATE CAUCUS DISCUSSION</w:t>
      </w:r>
    </w:p>
    <w:p w:rsidR="000A2A35" w:rsidRDefault="000A2A35" w:rsidP="000A2A35">
      <w:pPr>
        <w:rPr>
          <w:rFonts w:ascii="Times New Roman" w:hAnsi="Times New Roman" w:cs="Times New Roman"/>
          <w:sz w:val="24"/>
          <w:szCs w:val="24"/>
        </w:rPr>
      </w:pPr>
    </w:p>
    <w:p w:rsidR="000A2A35" w:rsidRPr="000A2A35" w:rsidRDefault="000A2A35" w:rsidP="000A2A35">
      <w:pPr>
        <w:rPr>
          <w:rFonts w:ascii="Times New Roman" w:hAnsi="Times New Roman" w:cs="Times New Roman"/>
          <w:b/>
          <w:sz w:val="24"/>
          <w:szCs w:val="24"/>
          <w:u w:val="single"/>
        </w:rPr>
      </w:pPr>
      <w:r w:rsidRPr="000A2A35">
        <w:rPr>
          <w:rFonts w:ascii="Times New Roman" w:hAnsi="Times New Roman" w:cs="Times New Roman"/>
          <w:b/>
          <w:sz w:val="24"/>
          <w:szCs w:val="24"/>
          <w:u w:val="single"/>
        </w:rPr>
        <w:t>Employer Size</w:t>
      </w:r>
      <w:r w:rsidR="00066814">
        <w:rPr>
          <w:rFonts w:ascii="Times New Roman" w:hAnsi="Times New Roman" w:cs="Times New Roman"/>
          <w:b/>
          <w:sz w:val="24"/>
          <w:szCs w:val="24"/>
          <w:u w:val="single"/>
        </w:rPr>
        <w:t xml:space="preserve"> for Paid Leave</w:t>
      </w:r>
    </w:p>
    <w:p w:rsidR="000A2A35" w:rsidRPr="000A2A35" w:rsidRDefault="000A2A35" w:rsidP="000A2A35">
      <w:pPr>
        <w:pStyle w:val="ListParagraph"/>
        <w:numPr>
          <w:ilvl w:val="0"/>
          <w:numId w:val="1"/>
        </w:numPr>
        <w:rPr>
          <w:rFonts w:ascii="Times New Roman" w:hAnsi="Times New Roman" w:cs="Times New Roman"/>
          <w:b/>
          <w:sz w:val="24"/>
          <w:szCs w:val="24"/>
        </w:rPr>
      </w:pPr>
      <w:r>
        <w:rPr>
          <w:rFonts w:ascii="Times New Roman" w:hAnsi="Times New Roman" w:cs="Times New Roman"/>
          <w:sz w:val="24"/>
          <w:szCs w:val="24"/>
        </w:rPr>
        <w:t>10, with Portland grandfathered at 6</w:t>
      </w:r>
    </w:p>
    <w:p w:rsidR="00066814" w:rsidRPr="00066814" w:rsidRDefault="000A2A35" w:rsidP="000A2A35">
      <w:pPr>
        <w:pStyle w:val="ListParagraph"/>
        <w:numPr>
          <w:ilvl w:val="0"/>
          <w:numId w:val="1"/>
        </w:numPr>
        <w:rPr>
          <w:rFonts w:ascii="Times New Roman" w:hAnsi="Times New Roman" w:cs="Times New Roman"/>
          <w:b/>
          <w:sz w:val="24"/>
          <w:szCs w:val="24"/>
        </w:rPr>
      </w:pPr>
      <w:r>
        <w:rPr>
          <w:rFonts w:ascii="Times New Roman" w:hAnsi="Times New Roman" w:cs="Times New Roman"/>
          <w:sz w:val="24"/>
          <w:szCs w:val="24"/>
        </w:rPr>
        <w:t>Calculation is based on average payroll during the previous year, which provides employers with</w:t>
      </w:r>
      <w:r w:rsidR="00066814">
        <w:rPr>
          <w:rFonts w:ascii="Times New Roman" w:hAnsi="Times New Roman" w:cs="Times New Roman"/>
          <w:sz w:val="24"/>
          <w:szCs w:val="24"/>
        </w:rPr>
        <w:t xml:space="preserve"> stability and predictability.  Employers that had an average of 10 or more employees for 20 weeks of that year meet the threshold. (20 weeks is the OFLA standard.)</w:t>
      </w:r>
    </w:p>
    <w:p w:rsidR="000A2A35" w:rsidRPr="000A2A35" w:rsidRDefault="000A2A35" w:rsidP="000A2A35">
      <w:pPr>
        <w:pStyle w:val="ListParagraph"/>
        <w:numPr>
          <w:ilvl w:val="0"/>
          <w:numId w:val="1"/>
        </w:numPr>
        <w:rPr>
          <w:rFonts w:ascii="Times New Roman" w:hAnsi="Times New Roman" w:cs="Times New Roman"/>
          <w:b/>
          <w:sz w:val="24"/>
          <w:szCs w:val="24"/>
        </w:rPr>
      </w:pPr>
      <w:r>
        <w:rPr>
          <w:rFonts w:ascii="Times New Roman" w:hAnsi="Times New Roman" w:cs="Times New Roman"/>
          <w:sz w:val="24"/>
          <w:szCs w:val="24"/>
        </w:rPr>
        <w:t>New businesses</w:t>
      </w:r>
      <w:r w:rsidR="00066814">
        <w:rPr>
          <w:rFonts w:ascii="Times New Roman" w:hAnsi="Times New Roman" w:cs="Times New Roman"/>
          <w:sz w:val="24"/>
          <w:szCs w:val="24"/>
        </w:rPr>
        <w:t xml:space="preserve"> (that lack a sufficient number of weeks of experience in the previous year)</w:t>
      </w:r>
      <w:r>
        <w:rPr>
          <w:rFonts w:ascii="Times New Roman" w:hAnsi="Times New Roman" w:cs="Times New Roman"/>
          <w:sz w:val="24"/>
          <w:szCs w:val="24"/>
        </w:rPr>
        <w:t xml:space="preserve"> </w:t>
      </w:r>
      <w:r w:rsidR="00066814">
        <w:rPr>
          <w:rFonts w:ascii="Times New Roman" w:hAnsi="Times New Roman" w:cs="Times New Roman"/>
          <w:sz w:val="24"/>
          <w:szCs w:val="24"/>
        </w:rPr>
        <w:t>may combine previous year and current year.</w:t>
      </w:r>
    </w:p>
    <w:p w:rsidR="00D7596A" w:rsidRPr="00D7596A" w:rsidRDefault="000A2A35" w:rsidP="000A2A35">
      <w:pPr>
        <w:pStyle w:val="ListParagraph"/>
        <w:numPr>
          <w:ilvl w:val="0"/>
          <w:numId w:val="1"/>
        </w:numPr>
        <w:rPr>
          <w:rFonts w:ascii="Times New Roman" w:hAnsi="Times New Roman" w:cs="Times New Roman"/>
          <w:b/>
          <w:sz w:val="24"/>
          <w:szCs w:val="24"/>
        </w:rPr>
      </w:pPr>
      <w:r>
        <w:rPr>
          <w:rFonts w:ascii="Times New Roman" w:hAnsi="Times New Roman" w:cs="Times New Roman"/>
          <w:sz w:val="24"/>
          <w:szCs w:val="24"/>
        </w:rPr>
        <w:t>Businesses based in Portland use the Portland standard, businesses based outside of Portland use the state standard, irrespective of where their workers are working.  Again, this creates simplicity and solves problems that have arisen in Portland when workers are on temporary jobs there.</w:t>
      </w:r>
    </w:p>
    <w:p w:rsidR="000A2A35" w:rsidRDefault="000A2A35" w:rsidP="00D7596A">
      <w:pPr>
        <w:rPr>
          <w:rFonts w:ascii="Times New Roman" w:hAnsi="Times New Roman" w:cs="Times New Roman"/>
          <w:sz w:val="24"/>
          <w:szCs w:val="24"/>
        </w:rPr>
      </w:pPr>
      <w:r w:rsidRPr="00D7596A">
        <w:rPr>
          <w:rFonts w:ascii="Times New Roman" w:hAnsi="Times New Roman" w:cs="Times New Roman"/>
          <w:sz w:val="24"/>
          <w:szCs w:val="24"/>
        </w:rPr>
        <w:t xml:space="preserve"> </w:t>
      </w:r>
      <w:r w:rsidR="00DD19B2">
        <w:rPr>
          <w:rFonts w:ascii="Times New Roman" w:hAnsi="Times New Roman" w:cs="Times New Roman"/>
          <w:b/>
          <w:sz w:val="24"/>
          <w:szCs w:val="24"/>
          <w:u w:val="single"/>
        </w:rPr>
        <w:t xml:space="preserve">Preemption </w:t>
      </w:r>
    </w:p>
    <w:p w:rsidR="00DD19B2" w:rsidRPr="00DD19B2" w:rsidRDefault="00DD19B2" w:rsidP="00DD19B2">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Aside from giving Portland a lower employer-size standard, all aspects of the policy will be consistent statewide.</w:t>
      </w:r>
    </w:p>
    <w:p w:rsidR="000A2A35" w:rsidRDefault="00DD19B2" w:rsidP="00DD19B2">
      <w:pPr>
        <w:rPr>
          <w:rFonts w:ascii="Times New Roman" w:hAnsi="Times New Roman" w:cs="Times New Roman"/>
          <w:sz w:val="24"/>
          <w:szCs w:val="24"/>
        </w:rPr>
      </w:pPr>
      <w:r>
        <w:rPr>
          <w:rFonts w:ascii="Times New Roman" w:hAnsi="Times New Roman" w:cs="Times New Roman"/>
          <w:b/>
          <w:sz w:val="24"/>
          <w:szCs w:val="24"/>
          <w:u w:val="single"/>
        </w:rPr>
        <w:t xml:space="preserve">Clarifications </w:t>
      </w:r>
      <w:proofErr w:type="gramStart"/>
      <w:r>
        <w:rPr>
          <w:rFonts w:ascii="Times New Roman" w:hAnsi="Times New Roman" w:cs="Times New Roman"/>
          <w:b/>
          <w:sz w:val="24"/>
          <w:szCs w:val="24"/>
          <w:u w:val="single"/>
        </w:rPr>
        <w:t>Around</w:t>
      </w:r>
      <w:proofErr w:type="gramEnd"/>
      <w:r>
        <w:rPr>
          <w:rFonts w:ascii="Times New Roman" w:hAnsi="Times New Roman" w:cs="Times New Roman"/>
          <w:b/>
          <w:sz w:val="24"/>
          <w:szCs w:val="24"/>
          <w:u w:val="single"/>
        </w:rPr>
        <w:t xml:space="preserve"> PTOs and Other Existing Employer Benefit Programs</w:t>
      </w:r>
    </w:p>
    <w:p w:rsidR="00820D2C" w:rsidRDefault="00DD19B2" w:rsidP="00DD19B2">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New language in Section 4 clarifies that employers who have existing sick leave or PTO programs that are equivalent to</w:t>
      </w:r>
      <w:r w:rsidR="00820D2C">
        <w:rPr>
          <w:rFonts w:ascii="Times New Roman" w:hAnsi="Times New Roman" w:cs="Times New Roman"/>
          <w:sz w:val="24"/>
          <w:szCs w:val="24"/>
        </w:rPr>
        <w:t xml:space="preserve"> SB 454 do not need to recreate their programs.</w:t>
      </w:r>
    </w:p>
    <w:p w:rsidR="00820D2C" w:rsidRDefault="00820D2C" w:rsidP="00DD19B2">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A program is “equivalent” if it meets the minimum requirements for</w:t>
      </w:r>
    </w:p>
    <w:p w:rsidR="00820D2C" w:rsidRDefault="00820D2C" w:rsidP="00820D2C">
      <w:pPr>
        <w:pStyle w:val="ListParagraph"/>
        <w:numPr>
          <w:ilvl w:val="1"/>
          <w:numId w:val="2"/>
        </w:numPr>
        <w:rPr>
          <w:rFonts w:ascii="Times New Roman" w:hAnsi="Times New Roman" w:cs="Times New Roman"/>
          <w:sz w:val="24"/>
          <w:szCs w:val="24"/>
        </w:rPr>
      </w:pPr>
      <w:r>
        <w:rPr>
          <w:rFonts w:ascii="Times New Roman" w:hAnsi="Times New Roman" w:cs="Times New Roman"/>
          <w:sz w:val="24"/>
          <w:szCs w:val="24"/>
        </w:rPr>
        <w:t>Hours available (40 hours per year)</w:t>
      </w:r>
    </w:p>
    <w:p w:rsidR="00C11DBB" w:rsidRDefault="00C11DBB" w:rsidP="00820D2C">
      <w:pPr>
        <w:pStyle w:val="ListParagraph"/>
        <w:numPr>
          <w:ilvl w:val="1"/>
          <w:numId w:val="2"/>
        </w:numPr>
        <w:rPr>
          <w:rFonts w:ascii="Times New Roman" w:hAnsi="Times New Roman" w:cs="Times New Roman"/>
          <w:sz w:val="24"/>
          <w:szCs w:val="24"/>
        </w:rPr>
      </w:pPr>
      <w:r>
        <w:rPr>
          <w:rFonts w:ascii="Times New Roman" w:hAnsi="Times New Roman" w:cs="Times New Roman"/>
          <w:sz w:val="24"/>
          <w:szCs w:val="24"/>
        </w:rPr>
        <w:t>Purposes of leave (for self-care or care of identified family members)</w:t>
      </w:r>
    </w:p>
    <w:p w:rsidR="00DD19B2" w:rsidRDefault="00820D2C" w:rsidP="00820D2C">
      <w:pPr>
        <w:pStyle w:val="ListParagraph"/>
        <w:numPr>
          <w:ilvl w:val="1"/>
          <w:numId w:val="2"/>
        </w:numPr>
        <w:rPr>
          <w:rFonts w:ascii="Times New Roman" w:hAnsi="Times New Roman" w:cs="Times New Roman"/>
          <w:sz w:val="24"/>
          <w:szCs w:val="24"/>
        </w:rPr>
      </w:pPr>
      <w:r>
        <w:rPr>
          <w:rFonts w:ascii="Times New Roman" w:hAnsi="Times New Roman" w:cs="Times New Roman"/>
          <w:sz w:val="24"/>
          <w:szCs w:val="24"/>
        </w:rPr>
        <w:t>Accrual rate (1 hour leave for every 30 hours worked, though this can be waived if employer front-loads the benefit—see below)</w:t>
      </w:r>
    </w:p>
    <w:p w:rsidR="00820D2C" w:rsidRDefault="00820D2C" w:rsidP="00820D2C">
      <w:pPr>
        <w:pStyle w:val="ListParagraph"/>
        <w:numPr>
          <w:ilvl w:val="1"/>
          <w:numId w:val="2"/>
        </w:numPr>
        <w:rPr>
          <w:rFonts w:ascii="Times New Roman" w:hAnsi="Times New Roman" w:cs="Times New Roman"/>
          <w:sz w:val="24"/>
          <w:szCs w:val="24"/>
        </w:rPr>
      </w:pPr>
      <w:r>
        <w:rPr>
          <w:rFonts w:ascii="Times New Roman" w:hAnsi="Times New Roman" w:cs="Times New Roman"/>
          <w:sz w:val="24"/>
          <w:szCs w:val="24"/>
        </w:rPr>
        <w:t>Increment of use (minimum 1 hour, 4-hour minimum under certain circumstances—see below)</w:t>
      </w:r>
    </w:p>
    <w:p w:rsidR="0003791E" w:rsidRDefault="0003791E" w:rsidP="00820D2C">
      <w:pPr>
        <w:pStyle w:val="ListParagraph"/>
        <w:numPr>
          <w:ilvl w:val="1"/>
          <w:numId w:val="2"/>
        </w:numPr>
        <w:rPr>
          <w:rFonts w:ascii="Times New Roman" w:hAnsi="Times New Roman" w:cs="Times New Roman"/>
          <w:sz w:val="24"/>
          <w:szCs w:val="24"/>
        </w:rPr>
      </w:pPr>
      <w:r>
        <w:rPr>
          <w:rFonts w:ascii="Times New Roman" w:hAnsi="Times New Roman" w:cs="Times New Roman"/>
          <w:sz w:val="24"/>
          <w:szCs w:val="24"/>
        </w:rPr>
        <w:t>Waiting period no greater than 90 days for initial use</w:t>
      </w:r>
    </w:p>
    <w:p w:rsidR="00C11DBB" w:rsidRDefault="0003791E" w:rsidP="0003791E">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Accrual requirements are waived if an employer “front-loads” the benefit—i.e., makes at least 40 hours of leave available at the beginning of each year.</w:t>
      </w:r>
    </w:p>
    <w:p w:rsidR="0003791E" w:rsidRDefault="00C11DBB" w:rsidP="00C11DBB">
      <w:pPr>
        <w:rPr>
          <w:rFonts w:ascii="Times New Roman" w:hAnsi="Times New Roman" w:cs="Times New Roman"/>
          <w:sz w:val="24"/>
          <w:szCs w:val="24"/>
        </w:rPr>
      </w:pPr>
      <w:r>
        <w:rPr>
          <w:rFonts w:ascii="Times New Roman" w:hAnsi="Times New Roman" w:cs="Times New Roman"/>
          <w:b/>
          <w:sz w:val="24"/>
          <w:szCs w:val="24"/>
          <w:u w:val="single"/>
        </w:rPr>
        <w:t>Exception to the 1-hour Increment of Use Requirement</w:t>
      </w:r>
    </w:p>
    <w:p w:rsidR="00281EE9" w:rsidRDefault="00281EE9" w:rsidP="00281EE9">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Employer can require that leave be taken in 4-hour increments if two conditions are met:</w:t>
      </w:r>
    </w:p>
    <w:p w:rsidR="00281EE9" w:rsidRDefault="00281EE9" w:rsidP="00281EE9">
      <w:pPr>
        <w:pStyle w:val="ListParagraph"/>
        <w:numPr>
          <w:ilvl w:val="1"/>
          <w:numId w:val="4"/>
        </w:numPr>
        <w:rPr>
          <w:rFonts w:ascii="Times New Roman" w:hAnsi="Times New Roman" w:cs="Times New Roman"/>
          <w:sz w:val="24"/>
          <w:szCs w:val="24"/>
        </w:rPr>
      </w:pPr>
      <w:r>
        <w:rPr>
          <w:rFonts w:ascii="Times New Roman" w:hAnsi="Times New Roman" w:cs="Times New Roman"/>
          <w:sz w:val="24"/>
          <w:szCs w:val="24"/>
        </w:rPr>
        <w:t>Employer provides 56 hours of leave per year</w:t>
      </w:r>
    </w:p>
    <w:p w:rsidR="00281EE9" w:rsidRDefault="00281EE9" w:rsidP="00281EE9">
      <w:pPr>
        <w:pStyle w:val="ListParagraph"/>
        <w:numPr>
          <w:ilvl w:val="1"/>
          <w:numId w:val="4"/>
        </w:numPr>
        <w:rPr>
          <w:rFonts w:ascii="Times New Roman" w:hAnsi="Times New Roman" w:cs="Times New Roman"/>
          <w:sz w:val="24"/>
          <w:szCs w:val="24"/>
        </w:rPr>
      </w:pPr>
      <w:r>
        <w:rPr>
          <w:rFonts w:ascii="Times New Roman" w:hAnsi="Times New Roman" w:cs="Times New Roman"/>
          <w:sz w:val="24"/>
          <w:szCs w:val="24"/>
        </w:rPr>
        <w:t>If the employer would face undue hardship if employee took leave in smaller increments, based on the difficulty of securing a replacement worker</w:t>
      </w:r>
    </w:p>
    <w:p w:rsidR="00281EE9" w:rsidRDefault="00281EE9" w:rsidP="00281EE9">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BOLI will adopt rules for defining and implementing the previous bullet.</w:t>
      </w:r>
    </w:p>
    <w:p w:rsidR="00281EE9" w:rsidRPr="00281EE9" w:rsidRDefault="00281EE9" w:rsidP="00281EE9">
      <w:pPr>
        <w:rPr>
          <w:rFonts w:ascii="Times New Roman" w:hAnsi="Times New Roman" w:cs="Times New Roman"/>
          <w:sz w:val="24"/>
          <w:szCs w:val="24"/>
        </w:rPr>
      </w:pPr>
    </w:p>
    <w:sectPr w:rsidR="00281EE9" w:rsidRPr="00281E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2228D0"/>
    <w:multiLevelType w:val="hybridMultilevel"/>
    <w:tmpl w:val="CADE64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25F7349"/>
    <w:multiLevelType w:val="hybridMultilevel"/>
    <w:tmpl w:val="13DE9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6E04F08"/>
    <w:multiLevelType w:val="hybridMultilevel"/>
    <w:tmpl w:val="6CBAB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F1B7225"/>
    <w:multiLevelType w:val="hybridMultilevel"/>
    <w:tmpl w:val="865E62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2A35"/>
    <w:rsid w:val="0003791E"/>
    <w:rsid w:val="00066814"/>
    <w:rsid w:val="000A2A35"/>
    <w:rsid w:val="00281EE9"/>
    <w:rsid w:val="003B6D41"/>
    <w:rsid w:val="00820D2C"/>
    <w:rsid w:val="00AE0198"/>
    <w:rsid w:val="00C11DBB"/>
    <w:rsid w:val="00D7596A"/>
    <w:rsid w:val="00DD19B2"/>
    <w:rsid w:val="00E85DC6"/>
    <w:rsid w:val="00F055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2A3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2A3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324</Words>
  <Characters>1850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Sen Dembrow</dc:creator>
  <cp:lastModifiedBy>Brenda</cp:lastModifiedBy>
  <cp:revision>2</cp:revision>
  <dcterms:created xsi:type="dcterms:W3CDTF">2015-06-01T16:21:00Z</dcterms:created>
  <dcterms:modified xsi:type="dcterms:W3CDTF">2015-06-01T16:21:00Z</dcterms:modified>
</cp:coreProperties>
</file>